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png" ContentType="image/png"/>
  <Override PartName="/word/media/image2.jpeg" ContentType="image/jpeg"/>
  <Override PartName="/word/media/image3.wmf" ContentType="image/x-wmf"/>
  <Override PartName="/word/media/image4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74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908"/>
        <w:gridCol w:w="5427"/>
        <w:gridCol w:w="2412"/>
      </w:tblGrid>
      <w:tr>
        <w:trPr/>
        <w:tc>
          <w:tcPr>
            <w:tcW w:w="1908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4536" w:leader="none"/>
                <w:tab w:val="right" w:pos="9072" w:leader="none"/>
              </w:tabs>
              <w:snapToGrid w:val="false"/>
              <w:spacing w:before="0" w:after="200"/>
              <w:jc w:val="center"/>
              <w:rPr>
                <w:i/>
                <w:i/>
                <w:sz w:val="20"/>
                <w:lang w:val="it-IT" w:eastAsia="en-US"/>
              </w:rPr>
            </w:pPr>
            <w:r>
              <w:rPr>
                <w:i/>
                <w:sz w:val="20"/>
                <w:lang w:val="it-IT" w:eastAsia="en-US"/>
              </w:rPr>
              <w:drawing>
                <wp:anchor behindDoc="1" distT="0" distB="0" distL="0" distR="0" simplePos="0" locked="0" layoutInCell="1" allowOverlap="1" relativeHeight="3">
                  <wp:simplePos x="0" y="0"/>
                  <wp:positionH relativeFrom="column">
                    <wp:posOffset>5715</wp:posOffset>
                  </wp:positionH>
                  <wp:positionV relativeFrom="paragraph">
                    <wp:posOffset>19685</wp:posOffset>
                  </wp:positionV>
                  <wp:extent cx="1057275" cy="704850"/>
                  <wp:effectExtent l="0" t="0" r="0" b="0"/>
                  <wp:wrapNone/>
                  <wp:docPr id="1" name="Картина 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артина 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rcRect l="-56" t="-84" r="-56" b="-8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704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427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4536" w:leader="none"/>
                <w:tab w:val="right" w:pos="9072" w:leader="none"/>
              </w:tabs>
              <w:snapToGrid w:val="false"/>
              <w:rPr>
                <w:i/>
                <w:i/>
                <w:sz w:val="20"/>
                <w:lang w:val="it-IT" w:eastAsia="en-US"/>
              </w:rPr>
            </w:pPr>
            <w:r>
              <w:rPr>
                <w:i/>
                <w:sz w:val="20"/>
                <w:lang w:val="it-IT" w:eastAsia="en-US"/>
              </w:rPr>
              <w:drawing>
                <wp:anchor behindDoc="1" distT="0" distB="0" distL="0" distR="0" simplePos="0" locked="0" layoutInCell="1" allowOverlap="1" relativeHeight="4">
                  <wp:simplePos x="0" y="0"/>
                  <wp:positionH relativeFrom="column">
                    <wp:posOffset>331470</wp:posOffset>
                  </wp:positionH>
                  <wp:positionV relativeFrom="paragraph">
                    <wp:posOffset>62865</wp:posOffset>
                  </wp:positionV>
                  <wp:extent cx="2552700" cy="647700"/>
                  <wp:effectExtent l="0" t="0" r="0" b="0"/>
                  <wp:wrapNone/>
                  <wp:docPr id="2" name="Картина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Картина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rcRect l="-16" t="-69" r="-16" b="-6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7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tabs>
                <w:tab w:val="clear" w:pos="709"/>
                <w:tab w:val="center" w:pos="4536" w:leader="none"/>
                <w:tab w:val="right" w:pos="9072" w:leader="none"/>
              </w:tabs>
              <w:rPr>
                <w:i/>
                <w:i/>
                <w:sz w:val="20"/>
                <w:lang w:val="it-IT" w:eastAsia="en-US"/>
              </w:rPr>
            </w:pPr>
            <w:r>
              <w:rPr>
                <w:i/>
                <w:sz w:val="20"/>
                <w:lang w:val="it-IT" w:eastAsia="en-U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center" w:pos="4536" w:leader="none"/>
                <w:tab w:val="right" w:pos="9072" w:leader="none"/>
              </w:tabs>
              <w:spacing w:before="0" w:after="200"/>
              <w:rPr>
                <w:i/>
                <w:i/>
                <w:sz w:val="20"/>
                <w:lang w:val="it-IT" w:eastAsia="en-US"/>
              </w:rPr>
            </w:pPr>
            <w:r>
              <w:rPr>
                <w:i/>
                <w:sz w:val="20"/>
                <w:lang w:val="it-IT" w:eastAsia="en-US"/>
              </w:rPr>
            </w:r>
          </w:p>
        </w:tc>
        <w:tc>
          <w:tcPr>
            <w:tcW w:w="2412" w:type="dxa"/>
            <w:tcBorders/>
          </w:tcPr>
          <w:p>
            <w:pPr>
              <w:pStyle w:val="Normal"/>
              <w:widowControl w:val="false"/>
              <w:tabs>
                <w:tab w:val="clear" w:pos="709"/>
                <w:tab w:val="center" w:pos="4536" w:leader="none"/>
                <w:tab w:val="right" w:pos="9072" w:leader="none"/>
              </w:tabs>
              <w:snapToGrid w:val="false"/>
              <w:jc w:val="center"/>
              <w:rPr>
                <w:i/>
                <w:i/>
                <w:sz w:val="20"/>
                <w:lang w:val="it-IT" w:eastAsia="en-US"/>
              </w:rPr>
            </w:pPr>
            <w:r>
              <w:rPr>
                <w:i/>
                <w:sz w:val="20"/>
                <w:lang w:val="it-IT" w:eastAsia="en-US"/>
              </w:rPr>
              <w:drawing>
                <wp:anchor behindDoc="0" distT="0" distB="0" distL="114300" distR="114300" simplePos="0" locked="0" layoutInCell="1" allowOverlap="1" relativeHeight="2">
                  <wp:simplePos x="0" y="0"/>
                  <wp:positionH relativeFrom="column">
                    <wp:posOffset>311150</wp:posOffset>
                  </wp:positionH>
                  <wp:positionV relativeFrom="paragraph">
                    <wp:posOffset>100330</wp:posOffset>
                  </wp:positionV>
                  <wp:extent cx="708025" cy="712470"/>
                  <wp:effectExtent l="0" t="0" r="0" b="0"/>
                  <wp:wrapSquare wrapText="largest"/>
                  <wp:docPr id="3" name="Картина 4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Картина 4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8025" cy="712470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</a:ln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tabs>
                <w:tab w:val="clear" w:pos="709"/>
                <w:tab w:val="center" w:pos="4536" w:leader="none"/>
                <w:tab w:val="right" w:pos="9072" w:leader="none"/>
              </w:tabs>
              <w:jc w:val="center"/>
              <w:rPr>
                <w:i/>
                <w:i/>
                <w:sz w:val="20"/>
                <w:lang w:val="it-IT" w:eastAsia="en-US"/>
              </w:rPr>
            </w:pPr>
            <w:r>
              <w:rPr>
                <w:i/>
                <w:sz w:val="20"/>
                <w:lang w:val="it-IT" w:eastAsia="en-US"/>
              </w:rPr>
            </w:r>
          </w:p>
          <w:p>
            <w:pPr>
              <w:pStyle w:val="Normal"/>
              <w:widowControl w:val="false"/>
              <w:tabs>
                <w:tab w:val="clear" w:pos="709"/>
                <w:tab w:val="center" w:pos="4536" w:leader="none"/>
                <w:tab w:val="right" w:pos="9072" w:leader="none"/>
              </w:tabs>
              <w:spacing w:before="0" w:after="200"/>
              <w:jc w:val="center"/>
              <w:rPr>
                <w:i/>
                <w:i/>
                <w:sz w:val="20"/>
                <w:lang w:val="it-IT" w:eastAsia="en-US"/>
              </w:rPr>
            </w:pPr>
            <w:r>
              <w:rPr>
                <w:i/>
                <w:sz w:val="20"/>
                <w:lang w:val="it-IT" w:eastAsia="en-US"/>
              </w:rPr>
            </w:r>
          </w:p>
        </w:tc>
      </w:tr>
      <w:tr>
        <w:trPr/>
        <w:tc>
          <w:tcPr>
            <w:tcW w:w="9747" w:type="dxa"/>
            <w:gridSpan w:val="3"/>
            <w:tcBorders/>
          </w:tcPr>
          <w:p>
            <w:pPr>
              <w:pStyle w:val="Normal"/>
              <w:widowControl w:val="false"/>
              <w:jc w:val="center"/>
              <w:rPr/>
            </w:pPr>
            <w:r>
              <w:rPr>
                <w:rFonts w:cs="Arial Narrow" w:ascii="Arial Narrow" w:hAnsi="Arial Narrow"/>
                <w:b/>
                <w:color w:val="0B0957"/>
              </w:rPr>
              <w:t>СДРУЖЕНИЕ “МЛАДЕЖКИ ПОРИВ ЗА БЪДЕЩЕТО”</w:t>
            </w:r>
          </w:p>
          <w:p>
            <w:pPr>
              <w:pStyle w:val="Normal"/>
              <w:widowControl w:val="false"/>
              <w:spacing w:before="0" w:after="200"/>
              <w:jc w:val="center"/>
              <w:rPr/>
            </w:pPr>
            <w:r>
              <w:rPr>
                <w:rFonts w:cs="Arial Narrow" w:ascii="Arial Narrow" w:hAnsi="Arial Narrow"/>
                <w:color w:val="0B0957"/>
                <w:sz w:val="20"/>
              </w:rPr>
              <w:t xml:space="preserve">България, </w:t>
            </w:r>
            <w:r>
              <w:rPr>
                <w:rFonts w:cs="Arial Narrow" w:ascii="Arial Narrow" w:hAnsi="Arial Narrow"/>
                <w:color w:val="0B0957"/>
                <w:sz w:val="20"/>
                <w:lang w:val="ru-RU"/>
              </w:rPr>
              <w:t>3400 Монтана</w:t>
            </w:r>
            <w:r>
              <w:rPr>
                <w:rFonts w:cs="Arial Narrow" w:ascii="Arial Narrow" w:hAnsi="Arial Narrow"/>
                <w:color w:val="0B0957"/>
                <w:sz w:val="20"/>
              </w:rPr>
              <w:t xml:space="preserve">, ж.к. ”Младост-2”, бл. 44, вх. </w:t>
            </w:r>
            <w:r>
              <w:rPr>
                <w:rFonts w:cs="Arial Narrow" w:ascii="Arial Narrow" w:hAnsi="Arial Narrow"/>
                <w:color w:val="0B0957"/>
                <w:sz w:val="20"/>
                <w:lang w:val="fr-BE"/>
              </w:rPr>
              <w:t xml:space="preserve">B, </w:t>
            </w:r>
            <w:r>
              <w:rPr>
                <w:rFonts w:cs="Arial Narrow" w:ascii="Arial Narrow" w:hAnsi="Arial Narrow"/>
                <w:color w:val="0B0957"/>
                <w:sz w:val="20"/>
              </w:rPr>
              <w:t xml:space="preserve">ап. 24,  </w:t>
            </w:r>
            <w:r>
              <w:rPr>
                <w:rFonts w:cs="Arial Narrow" w:ascii="Arial Narrow" w:hAnsi="Arial Narrow"/>
                <w:color w:val="0B0957"/>
                <w:sz w:val="20"/>
                <w:lang w:val="fr-BE"/>
              </w:rPr>
              <w:t>E</w:t>
            </w:r>
            <w:r>
              <w:rPr>
                <w:rFonts w:cs="Arial Narrow" w:ascii="Arial Narrow" w:hAnsi="Arial Narrow"/>
                <w:color w:val="0B0957"/>
                <w:sz w:val="20"/>
                <w:lang w:val="ru-RU"/>
              </w:rPr>
              <w:t>-</w:t>
            </w:r>
            <w:r>
              <w:rPr>
                <w:rFonts w:cs="Arial Narrow" w:ascii="Arial Narrow" w:hAnsi="Arial Narrow"/>
                <w:color w:val="0B0957"/>
                <w:sz w:val="20"/>
              </w:rPr>
              <w:t>mail</w:t>
            </w:r>
            <w:r>
              <w:rPr>
                <w:rFonts w:cs="Arial Narrow" w:ascii="Arial Narrow" w:hAnsi="Arial Narrow"/>
                <w:color w:val="0B0957"/>
                <w:sz w:val="20"/>
                <w:lang w:val="ru-RU"/>
              </w:rPr>
              <w:t xml:space="preserve">:  </w:t>
            </w:r>
            <w:r>
              <w:rPr>
                <w:rFonts w:cs="Arial Narrow" w:ascii="Arial Narrow" w:hAnsi="Arial Narrow"/>
                <w:color w:val="0B0957"/>
                <w:sz w:val="20"/>
              </w:rPr>
              <w:t>ml</w:t>
            </w:r>
            <w:r>
              <w:rPr>
                <w:rFonts w:cs="Arial Narrow" w:ascii="Arial Narrow" w:hAnsi="Arial Narrow"/>
                <w:color w:val="0B0957"/>
                <w:sz w:val="20"/>
                <w:lang w:val="ru-RU"/>
              </w:rPr>
              <w:t>.</w:t>
            </w:r>
            <w:r>
              <w:rPr>
                <w:rFonts w:cs="Arial Narrow" w:ascii="Arial Narrow" w:hAnsi="Arial Narrow"/>
                <w:color w:val="0B0957"/>
                <w:sz w:val="20"/>
                <w:lang w:val="fr-BE"/>
              </w:rPr>
              <w:t>poriv</w:t>
            </w:r>
            <w:r>
              <w:rPr>
                <w:rFonts w:cs="Arial Narrow" w:ascii="Arial Narrow" w:hAnsi="Arial Narrow"/>
                <w:color w:val="0B0957"/>
                <w:sz w:val="20"/>
                <w:lang w:val="ru-RU"/>
              </w:rPr>
              <w:t>@</w:t>
            </w:r>
            <w:r>
              <w:rPr>
                <w:rFonts w:cs="Arial Narrow" w:ascii="Arial Narrow" w:hAnsi="Arial Narrow"/>
                <w:color w:val="0B0957"/>
                <w:sz w:val="20"/>
              </w:rPr>
              <w:t>mail</w:t>
            </w:r>
            <w:r>
              <w:rPr>
                <w:rFonts w:cs="Arial Narrow" w:ascii="Arial Narrow" w:hAnsi="Arial Narrow"/>
                <w:color w:val="0B0957"/>
                <w:sz w:val="20"/>
                <w:lang w:val="ru-RU"/>
              </w:rPr>
              <w:t>.</w:t>
            </w:r>
            <w:r>
              <w:rPr>
                <w:rFonts w:cs="Arial Narrow" w:ascii="Arial Narrow" w:hAnsi="Arial Narrow"/>
                <w:color w:val="0B0957"/>
                <w:sz w:val="20"/>
              </w:rPr>
              <w:t>bg</w:t>
            </w:r>
          </w:p>
        </w:tc>
      </w:tr>
    </w:tbl>
    <w:p>
      <w:pPr>
        <w:pStyle w:val="Normal"/>
        <w:spacing w:before="0" w:after="0"/>
        <w:ind w:left="4355" w:firstLine="335"/>
        <w:rPr>
          <w:rFonts w:ascii="Arial Narrow" w:hAnsi="Arial Narrow"/>
          <w:b/>
          <w:b/>
          <w:color w:val="0F243E" w:themeColor="text2" w:themeShade="80"/>
        </w:rPr>
      </w:pPr>
      <w:r>
        <w:rPr>
          <w:rFonts w:ascii="Arial Narrow" w:hAnsi="Arial Narrow"/>
          <w:b/>
          <w:color w:val="0F243E" w:themeColor="text2" w:themeShade="80"/>
        </w:rPr>
        <w:t>Утвърдил:</w:t>
      </w:r>
    </w:p>
    <w:p>
      <w:pPr>
        <w:pStyle w:val="Normal"/>
        <w:spacing w:before="0" w:after="0"/>
        <w:rPr>
          <w:rFonts w:ascii="Arial Narrow" w:hAnsi="Arial Narrow"/>
          <w:b/>
          <w:b/>
          <w:color w:val="0F243E" w:themeColor="text2" w:themeShade="80"/>
        </w:rPr>
      </w:pPr>
      <w:r>
        <w:rPr>
          <w:rFonts w:ascii="Arial Narrow" w:hAnsi="Arial Narrow"/>
          <w:b/>
          <w:color w:val="0F243E" w:themeColor="text2" w:themeShade="80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>Тодор Тодоров</w:t>
      </w:r>
    </w:p>
    <w:p>
      <w:pPr>
        <w:pStyle w:val="NoSpacing"/>
        <w:rPr>
          <w:b/>
          <w:b/>
          <w:i/>
          <w:i/>
        </w:rPr>
      </w:pPr>
      <w:r>
        <w:rPr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b/>
          <w:i/>
        </w:rPr>
        <w:t>Председател</w:t>
      </w:r>
    </w:p>
    <w:p>
      <w:pPr>
        <w:pStyle w:val="Normal"/>
        <w:jc w:val="center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jc w:val="center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lang w:val="ru-RU"/>
        </w:rPr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866775</wp:posOffset>
            </wp:positionH>
            <wp:positionV relativeFrom="paragraph">
              <wp:posOffset>175895</wp:posOffset>
            </wp:positionV>
            <wp:extent cx="4217035" cy="2915920"/>
            <wp:effectExtent l="0" t="0" r="0" b="0"/>
            <wp:wrapSquare wrapText="largest"/>
            <wp:docPr id="4" name="Изображение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1" descr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7035" cy="291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56"/>
          <w:szCs w:val="56"/>
          <w:lang w:val="ru-RU"/>
        </w:rPr>
      </w:pPr>
      <w:r>
        <w:rPr>
          <w:rFonts w:cs="Arial" w:ascii="Arial" w:hAnsi="Arial"/>
          <w:b/>
          <w:sz w:val="56"/>
          <w:szCs w:val="56"/>
          <w:lang w:val="ru-RU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56"/>
          <w:szCs w:val="56"/>
          <w:lang w:val="ru-RU"/>
        </w:rPr>
      </w:pPr>
      <w:r>
        <w:rPr>
          <w:rFonts w:cs="Arial" w:ascii="Arial" w:hAnsi="Arial"/>
          <w:b/>
          <w:sz w:val="56"/>
          <w:szCs w:val="56"/>
          <w:lang w:val="ru-RU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56"/>
          <w:szCs w:val="56"/>
          <w:lang w:val="ru-RU"/>
        </w:rPr>
      </w:pPr>
      <w:r>
        <w:rPr>
          <w:rFonts w:cs="Arial" w:ascii="Arial" w:hAnsi="Arial"/>
          <w:b/>
          <w:sz w:val="56"/>
          <w:szCs w:val="56"/>
          <w:lang w:val="ru-RU"/>
        </w:rPr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56"/>
          <w:szCs w:val="56"/>
          <w:lang w:val="ru-RU"/>
        </w:rPr>
      </w:pPr>
      <w:r>
        <w:rPr>
          <w:rFonts w:cs="Arial" w:ascii="Arial" w:hAnsi="Arial"/>
          <w:b/>
          <w:sz w:val="56"/>
          <w:szCs w:val="56"/>
          <w:lang w:val="ru-RU"/>
        </w:rPr>
      </w:r>
    </w:p>
    <w:p>
      <w:pPr>
        <w:pStyle w:val="Normal"/>
        <w:spacing w:lineRule="auto" w:line="360"/>
        <w:jc w:val="center"/>
        <w:rPr>
          <w:sz w:val="56"/>
          <w:szCs w:val="56"/>
        </w:rPr>
      </w:pPr>
      <w:r>
        <w:rPr>
          <w:rFonts w:cs="Arial" w:ascii="Arial" w:hAnsi="Arial"/>
          <w:b/>
          <w:sz w:val="56"/>
          <w:szCs w:val="56"/>
          <w:lang w:val="ru-RU"/>
        </w:rPr>
        <w:t>УЧЕБНА ПРОГРАМА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  <w:lang w:val="ru-RU"/>
        </w:rPr>
        <w:t xml:space="preserve">ЗА ОБУЧЕНИЕ НА СТАРИ ХОРА 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ГРЪНЧАРСТВО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Продължителност 1 ден</w:t>
      </w:r>
      <w:bookmarkStart w:id="0" w:name="_GoBack"/>
      <w:bookmarkEnd w:id="0"/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Април, 2021</w:t>
      </w:r>
    </w:p>
    <w:p>
      <w:pPr>
        <w:pStyle w:val="Normal"/>
        <w:ind w:firstLine="567"/>
        <w:jc w:val="both"/>
        <w:rPr>
          <w:rFonts w:ascii="Arial" w:hAnsi="Arial" w:cs="Arial"/>
          <w:b/>
          <w:b/>
          <w:sz w:val="28"/>
        </w:rPr>
      </w:pPr>
      <w:r>
        <w:rPr>
          <w:rFonts w:cs="Arial" w:ascii="Arial" w:hAnsi="Arial"/>
          <w:b/>
          <w:sz w:val="28"/>
        </w:rPr>
        <w:t>Настоящата учебна програма е създадена за изпълнение на Дейност № 3 „Обучения в грънчарски занаяти“ за реализацията на проект „Занаят грънчарство  за всички (CP4</w:t>
      </w:r>
      <w:r>
        <w:rPr>
          <w:rFonts w:cs="Arial" w:ascii="Arial" w:hAnsi="Arial"/>
          <w:b/>
          <w:sz w:val="28"/>
          <w:lang w:val="en-US"/>
        </w:rPr>
        <w:t>All</w:t>
      </w:r>
      <w:r>
        <w:rPr>
          <w:rFonts w:cs="Arial" w:ascii="Arial" w:hAnsi="Arial"/>
          <w:b/>
          <w:sz w:val="28"/>
        </w:rPr>
        <w:t xml:space="preserve">)”, Реф. № CB007.2.12.018, Договор РД-02-29-190 / 09.11.2020, финансиран от Програма ИНТЕРРЕГ – ИПА за трансгранично сътрудничество България - Сърбия, където Сдружение „Младежки порив за бъдещето“ е водещ партньор.  </w:t>
      </w:r>
    </w:p>
    <w:p>
      <w:pPr>
        <w:pStyle w:val="Normal"/>
        <w:ind w:firstLine="567"/>
        <w:jc w:val="both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sz w:val="28"/>
        </w:rPr>
        <w:t xml:space="preserve">Програмата е създадена от експерт – майстор грънчар на сдружение „Европейски просперитет“ СНЦ в изпълнение на договор „Осигуряване на експерти“ № </w:t>
      </w:r>
      <w:r>
        <w:rPr>
          <w:rFonts w:cs="Arial" w:ascii="Arial" w:hAnsi="Arial"/>
          <w:b/>
          <w:sz w:val="28"/>
          <w:lang w:val="en-US"/>
        </w:rPr>
        <w:t>CB</w:t>
      </w:r>
      <w:r>
        <w:rPr>
          <w:rFonts w:cs="Arial" w:ascii="Arial" w:hAnsi="Arial"/>
          <w:b/>
          <w:sz w:val="28"/>
        </w:rPr>
        <w:t>007.2.12.018-</w:t>
      </w:r>
      <w:r>
        <w:rPr>
          <w:rFonts w:cs="Arial" w:ascii="Arial" w:hAnsi="Arial"/>
          <w:b/>
          <w:sz w:val="28"/>
          <w:lang w:val="en-US"/>
        </w:rPr>
        <w:t>LP</w:t>
      </w:r>
      <w:r>
        <w:rPr>
          <w:rFonts w:cs="Arial" w:ascii="Arial" w:hAnsi="Arial"/>
          <w:b/>
          <w:sz w:val="28"/>
        </w:rPr>
        <w:t xml:space="preserve">-06 / 20.01.2021 г. със Сдружение „Младежки порив за бъдещето“. </w:t>
      </w:r>
    </w:p>
    <w:p>
      <w:pPr>
        <w:pStyle w:val="Normal"/>
        <w:spacing w:lineRule="auto" w:line="360"/>
        <w:jc w:val="center"/>
        <w:rPr>
          <w:rFonts w:ascii="Arial" w:hAnsi="Arial" w:cs="Arial"/>
          <w:b/>
          <w:b/>
          <w:lang w:val="ru-RU"/>
        </w:rPr>
      </w:pPr>
      <w:r>
        <w:rPr>
          <w:rFonts w:cs="Arial" w:ascii="Arial" w:hAnsi="Arial"/>
          <w:b/>
          <w:sz w:val="56"/>
          <w:szCs w:val="56"/>
          <w:lang w:val="ru-RU"/>
        </w:rPr>
        <w:t xml:space="preserve"> </w:t>
      </w:r>
    </w:p>
    <w:p>
      <w:pPr>
        <w:pStyle w:val="6"/>
        <w:numPr>
          <w:ilvl w:val="0"/>
          <w:numId w:val="2"/>
        </w:numPr>
        <w:spacing w:lineRule="auto" w:line="276"/>
        <w:jc w:val="both"/>
        <w:rPr>
          <w:rFonts w:ascii="Arial" w:hAnsi="Arial" w:cs="Arial"/>
        </w:rPr>
      </w:pPr>
      <w:r>
        <w:rPr>
          <w:rFonts w:cs="Arial" w:ascii="Arial" w:hAnsi="Arial"/>
          <w:lang w:val="ru-RU"/>
        </w:rPr>
        <w:t>ОБЩО</w:t>
      </w:r>
      <w:r>
        <w:rPr>
          <w:rFonts w:cs="Arial" w:ascii="Arial" w:hAnsi="Arial"/>
        </w:rPr>
        <w:t xml:space="preserve"> ПРЕДСТАВЯНЕ НА УЧЕБНАТА ПРОГРАМА </w:t>
      </w:r>
    </w:p>
    <w:p>
      <w:pPr>
        <w:pStyle w:val="Normal"/>
        <w:rPr>
          <w:rFonts w:ascii="Arial" w:hAnsi="Arial" w:cs="Arial"/>
          <w:sz w:val="28"/>
          <w:szCs w:val="28"/>
        </w:rPr>
      </w:pPr>
      <w:r>
        <w:rPr>
          <w:rFonts w:cs="Arial" w:ascii="Arial" w:hAnsi="Arial"/>
          <w:sz w:val="28"/>
          <w:szCs w:val="28"/>
        </w:rPr>
      </w:r>
    </w:p>
    <w:p>
      <w:pPr>
        <w:pStyle w:val="Normal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8"/>
          <w:szCs w:val="28"/>
        </w:rPr>
        <w:t xml:space="preserve">     </w:t>
      </w:r>
      <w:r>
        <w:rPr>
          <w:rFonts w:cs="Arial" w:ascii="Arial" w:hAnsi="Arial"/>
          <w:bCs/>
          <w:sz w:val="24"/>
          <w:szCs w:val="24"/>
        </w:rPr>
        <w:t xml:space="preserve">Програмата има за цел да запознае обучаемите с основните посоки  в грънчарството и традицията в северозападния край на България, в които влизат  както традиционните технологии – източване на грънчарско колело, фуршова техника, градене чрез платки, използване на  специфични пособия за декорация като толумби, и инструменти за издраскване, така и  съвременните тенденции в областта на дизайна. Освен утилитарните направления в грънчарството, в програмата се засягат и аспекти от областта на скулптурата – малката пластика. </w:t>
      </w:r>
    </w:p>
    <w:p>
      <w:pPr>
        <w:pStyle w:val="Normal"/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>Програмата включва основна подготовка на обучаемите хора за творческо проектиране и технологична работа с видовете пластични грънчарски маси. Програмата се разпределя тематично и предлага обстойно изследване и запознаване с основните направления в грънчарството: предмети с функционално или декоративно предназначение. Приоритетни са аспектите и на творческо-изследователската, и на практическата дейност на ученика. Акцентите се поставят върху традиционните и съвременни техники на изработване.</w:t>
      </w:r>
      <w:r>
        <w:rPr>
          <w:rFonts w:cs="Arial" w:ascii="Arial" w:hAnsi="Arial"/>
          <w:b/>
          <w:bCs/>
          <w:sz w:val="24"/>
          <w:szCs w:val="24"/>
        </w:rPr>
        <w:t xml:space="preserve"> </w:t>
      </w:r>
      <w:r>
        <w:rPr>
          <w:rFonts w:cs="Arial" w:ascii="Arial" w:hAnsi="Arial"/>
          <w:bCs/>
          <w:sz w:val="24"/>
          <w:szCs w:val="24"/>
        </w:rPr>
        <w:t>Основните характеристики на съдържанието са</w:t>
      </w:r>
      <w:r>
        <w:rPr>
          <w:rFonts w:cs="Arial" w:ascii="Arial" w:hAnsi="Arial"/>
          <w:sz w:val="24"/>
          <w:szCs w:val="24"/>
        </w:rPr>
        <w:t xml:space="preserve">: системност; последователност; </w:t>
      </w:r>
      <w:r>
        <w:rPr>
          <w:rFonts w:cs="Arial" w:ascii="Arial" w:hAnsi="Arial"/>
          <w:sz w:val="24"/>
          <w:szCs w:val="24"/>
          <w:lang w:val="ru-RU"/>
        </w:rPr>
        <w:t>функционална връзка между отделните елементи на учебната структура.</w:t>
      </w:r>
    </w:p>
    <w:p>
      <w:pPr>
        <w:pStyle w:val="Normal"/>
        <w:tabs>
          <w:tab w:val="clear" w:pos="709"/>
          <w:tab w:val="left" w:pos="851" w:leader="none"/>
        </w:tabs>
        <w:ind w:firstLine="720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Часовете по </w:t>
      </w:r>
      <w:r>
        <w:rPr>
          <w:rFonts w:cs="Arial" w:ascii="Arial" w:hAnsi="Arial"/>
          <w:b/>
          <w:bCs/>
          <w:sz w:val="24"/>
          <w:szCs w:val="24"/>
        </w:rPr>
        <w:t>грънчарство</w:t>
      </w:r>
      <w:r>
        <w:rPr>
          <w:rFonts w:cs="Arial" w:ascii="Arial" w:hAnsi="Arial"/>
          <w:sz w:val="24"/>
          <w:szCs w:val="24"/>
        </w:rPr>
        <w:t xml:space="preserve"> се провеждат в изградено и оборудвано грънчарско студио село Бързия, община Берковица, България.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</w:t>
      </w:r>
      <w:r>
        <w:rPr>
          <w:rFonts w:cs="Arial" w:ascii="Arial" w:hAnsi="Arial"/>
          <w:sz w:val="24"/>
          <w:szCs w:val="24"/>
        </w:rPr>
        <w:t>Формира се разбиране за художествена грънчарска форма и нейното цветово организиране в пространството, творчески способности, усещане за пластично изграждане. Обучаваните се запознават с необходимите материали за създаване на грънчарски художествени предмети с различните техники и технологии за изработване на грънчарско произведение. Стремежът на преподавателя е да създаде в обучаваните хора творческо отношение към обобщената форма и детайл.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numPr>
          <w:ilvl w:val="0"/>
          <w:numId w:val="2"/>
        </w:numPr>
        <w:tabs>
          <w:tab w:val="clear" w:pos="709"/>
          <w:tab w:val="left" w:pos="851" w:leader="none"/>
        </w:tabs>
        <w:spacing w:before="0" w:after="0"/>
        <w:contextualSpacing/>
        <w:jc w:val="both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 xml:space="preserve">ЦЕЛИ НА ОБУЧЕНИЕТО </w:t>
      </w:r>
    </w:p>
    <w:p>
      <w:pPr>
        <w:pStyle w:val="ListParagraph"/>
        <w:tabs>
          <w:tab w:val="clear" w:pos="709"/>
          <w:tab w:val="left" w:pos="851" w:leader="none"/>
        </w:tabs>
        <w:spacing w:before="0" w:after="0"/>
        <w:ind w:left="1080" w:hanging="0"/>
        <w:contextualSpacing/>
        <w:jc w:val="both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ind w:left="72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</w:t>
      </w:r>
      <w:r>
        <w:rPr>
          <w:rFonts w:cs="Arial" w:ascii="Arial" w:hAnsi="Arial"/>
          <w:sz w:val="24"/>
          <w:szCs w:val="24"/>
        </w:rPr>
        <w:t xml:space="preserve">Обучението по   ‘’Грънчарство‘’ има за цел да даде  необходимите знания на обучаваните за пълния цикъл на изработка от проектирането до изпълнението на крайния продукт , както  и за произхода и развитието на грънчарството от древността до наши дни . </w:t>
      </w:r>
    </w:p>
    <w:p>
      <w:pPr>
        <w:pStyle w:val="Normal"/>
        <w:tabs>
          <w:tab w:val="clear" w:pos="709"/>
          <w:tab w:val="right" w:pos="9360" w:leader="none"/>
        </w:tabs>
        <w:ind w:left="36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  </w:t>
      </w:r>
      <w:r>
        <w:rPr>
          <w:rFonts w:cs="Arial" w:ascii="Arial" w:hAnsi="Arial"/>
          <w:sz w:val="24"/>
          <w:szCs w:val="24"/>
        </w:rPr>
        <w:t>Дисциплината е неделимо единство от теоретични знания , практически умения и навици.</w:t>
      </w:r>
    </w:p>
    <w:p>
      <w:pPr>
        <w:pStyle w:val="Normal"/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</w:t>
      </w:r>
      <w:r>
        <w:rPr>
          <w:rFonts w:cs="Arial" w:ascii="Arial" w:hAnsi="Arial"/>
          <w:sz w:val="24"/>
          <w:szCs w:val="24"/>
        </w:rPr>
        <w:t>Основните цели са: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Формиране на естетическо отношение , пластична култура и изграждане на  технологични и професионални умения при работа с грънчарския материал;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Запазване и продължение на националните традиции в областта на художествените занаяти, опознаване и съхраняване богатото културно наследство;</w:t>
      </w:r>
    </w:p>
    <w:p>
      <w:pPr>
        <w:pStyle w:val="ListParagraph"/>
        <w:numPr>
          <w:ilvl w:val="0"/>
          <w:numId w:val="3"/>
        </w:numPr>
        <w:spacing w:lineRule="auto" w:line="36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Адаптивност към съвременни и алтернативни форми на обучение в областта на изкуствата, създаващи възможност за участия в международни  конкурси и форуми;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Прилагане на етапите на изграждане на грънчарската творба;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Прилагане на законите и принципите на изграждане на композицията (формообразуване  на дадения предмет);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Съобразяване с технологичните изисквания при работа с различни грънчарски материали;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Изграждане на обемнопространствена  или плоскостнодекоративна ( релефна ) форма съобразно конкретната задача. Развиване  на художествено -образното   мислене , формиране на художествения образ и проява на творческо въображение;  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Усвояване на различни техники и способи за работа с грънчарските материали;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Чрез обучението по грънчарство се създава иновативен подход за посрещане на нарастващите изисквания на младите, възрастни и старите общности и туристи от големите градове, търсещи обогатяване на знания и умения за  традиционните занаяти и по специално в грънчарството;</w:t>
      </w:r>
    </w:p>
    <w:p>
      <w:pPr>
        <w:pStyle w:val="ListParagraph"/>
        <w:numPr>
          <w:ilvl w:val="0"/>
          <w:numId w:val="3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</w:t>
      </w:r>
      <w:r>
        <w:rPr>
          <w:rFonts w:cs="Arial" w:ascii="Arial" w:hAnsi="Arial"/>
          <w:color w:val="000000"/>
          <w:sz w:val="24"/>
          <w:szCs w:val="24"/>
        </w:rPr>
        <w:t xml:space="preserve">Обучението е с познавателна и забавна цел.  </w:t>
      </w:r>
    </w:p>
    <w:p>
      <w:pPr>
        <w:pStyle w:val="Normal"/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Цялостният учебно - творчески процес се ръководи от преподавател, дипломиран специалист в тази област.</w:t>
      </w:r>
    </w:p>
    <w:p>
      <w:pPr>
        <w:pStyle w:val="Normal"/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В резултат на обучението ученикът трябва </w:t>
      </w:r>
      <w:r>
        <w:rPr>
          <w:rFonts w:cs="Arial" w:ascii="Arial" w:hAnsi="Arial"/>
          <w:b/>
          <w:bCs/>
          <w:sz w:val="24"/>
          <w:szCs w:val="24"/>
        </w:rPr>
        <w:t>да знае:</w:t>
      </w:r>
    </w:p>
    <w:p>
      <w:pPr>
        <w:pStyle w:val="Normal"/>
        <w:numPr>
          <w:ilvl w:val="0"/>
          <w:numId w:val="5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свойства на формата, функция на предмета, декоративна украса;</w:t>
      </w:r>
    </w:p>
    <w:p>
      <w:pPr>
        <w:pStyle w:val="Normal"/>
        <w:numPr>
          <w:ilvl w:val="0"/>
          <w:numId w:val="5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методи за проектиране;</w:t>
      </w:r>
    </w:p>
    <w:p>
      <w:pPr>
        <w:pStyle w:val="Normal"/>
        <w:numPr>
          <w:ilvl w:val="0"/>
          <w:numId w:val="5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етапи за проектиране;</w:t>
      </w:r>
    </w:p>
    <w:p>
      <w:pPr>
        <w:pStyle w:val="Normal"/>
        <w:numPr>
          <w:ilvl w:val="0"/>
          <w:numId w:val="5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етапи на изпълнение в материал;</w:t>
      </w:r>
    </w:p>
    <w:p>
      <w:pPr>
        <w:pStyle w:val="Normal"/>
        <w:numPr>
          <w:ilvl w:val="0"/>
          <w:numId w:val="5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техника и технология на изработване; </w:t>
      </w:r>
    </w:p>
    <w:p>
      <w:pPr>
        <w:pStyle w:val="Normal"/>
        <w:tabs>
          <w:tab w:val="clear" w:pos="709"/>
          <w:tab w:val="right" w:pos="9360" w:leader="none"/>
        </w:tabs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да може да:</w:t>
      </w:r>
    </w:p>
    <w:p>
      <w:pPr>
        <w:pStyle w:val="Normal"/>
        <w:numPr>
          <w:ilvl w:val="0"/>
          <w:numId w:val="4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изобразява графично проекта;</w:t>
      </w:r>
    </w:p>
    <w:p>
      <w:pPr>
        <w:pStyle w:val="Normal"/>
        <w:numPr>
          <w:ilvl w:val="0"/>
          <w:numId w:val="4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изобразява пластично проекта;</w:t>
      </w:r>
    </w:p>
    <w:p>
      <w:pPr>
        <w:pStyle w:val="Normal"/>
        <w:numPr>
          <w:ilvl w:val="0"/>
          <w:numId w:val="4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изработва прототипа или произведението  в подходящ за проекта материал;</w:t>
      </w:r>
    </w:p>
    <w:p>
      <w:pPr>
        <w:pStyle w:val="Normal"/>
        <w:numPr>
          <w:ilvl w:val="0"/>
          <w:numId w:val="4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владее техниките на изработване в материал;</w:t>
      </w:r>
    </w:p>
    <w:p>
      <w:pPr>
        <w:pStyle w:val="Normal"/>
        <w:numPr>
          <w:ilvl w:val="0"/>
          <w:numId w:val="4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разграничава технологичните специфики;</w:t>
      </w:r>
    </w:p>
    <w:p>
      <w:pPr>
        <w:pStyle w:val="Normal"/>
        <w:numPr>
          <w:ilvl w:val="0"/>
          <w:numId w:val="4"/>
        </w:numPr>
        <w:tabs>
          <w:tab w:val="clear" w:pos="709"/>
          <w:tab w:val="right" w:pos="9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формулира критерии и оценка на произведението;</w:t>
      </w:r>
    </w:p>
    <w:p>
      <w:pPr>
        <w:pStyle w:val="Normal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  <w:tab/>
        <w:t>- разработен нов туристически продукт, базиран на грънчарство чрез действащо обучително грънчарско студио и ежегоден открит панаир за фолклор и занаяти за посрещане на нарастващите нужди на местните общности и туристите за обогатяване на знанията и уменията им.</w:t>
      </w:r>
    </w:p>
    <w:p>
      <w:pPr>
        <w:pStyle w:val="Normal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bCs/>
          <w:sz w:val="24"/>
          <w:szCs w:val="24"/>
        </w:rPr>
      </w:pPr>
      <w:r>
        <w:rPr>
          <w:rFonts w:cs="Arial" w:ascii="Arial" w:hAnsi="Arial"/>
          <w:bCs/>
          <w:sz w:val="24"/>
          <w:szCs w:val="24"/>
        </w:rPr>
      </w:r>
    </w:p>
    <w:p>
      <w:pPr>
        <w:pStyle w:val="Normal"/>
        <w:jc w:val="both"/>
        <w:rPr>
          <w:rFonts w:ascii="Arial" w:hAnsi="Arial" w:cs="Arial"/>
          <w:bCs/>
          <w:sz w:val="24"/>
          <w:szCs w:val="24"/>
        </w:rPr>
      </w:pPr>
      <w:r>
        <w:rPr>
          <w:rFonts w:eastAsia="Calibri" w:cs="Arial" w:ascii="Arial" w:hAnsi="Arial"/>
          <w:b/>
          <w:bCs/>
          <w:sz w:val="28"/>
          <w:szCs w:val="28"/>
        </w:rPr>
        <w:t xml:space="preserve"> </w:t>
      </w:r>
      <w:r>
        <w:rPr>
          <w:rFonts w:cs="Arial" w:ascii="Arial" w:hAnsi="Arial"/>
          <w:bCs/>
          <w:sz w:val="28"/>
          <w:szCs w:val="28"/>
        </w:rPr>
        <w:t xml:space="preserve"> </w:t>
      </w:r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rPr>
          <w:rFonts w:ascii="Arial" w:hAnsi="Arial" w:cs="Arial"/>
          <w:b/>
          <w:b/>
          <w:sz w:val="24"/>
          <w:szCs w:val="24"/>
          <w:lang w:val="ru-RU"/>
        </w:rPr>
      </w:pPr>
      <w:r>
        <w:rPr>
          <w:rFonts w:cs="Arial" w:ascii="Arial" w:hAnsi="Arial"/>
          <w:b/>
          <w:sz w:val="24"/>
          <w:szCs w:val="24"/>
          <w:lang w:val="ru-RU"/>
        </w:rPr>
        <w:t xml:space="preserve">СТРУКТУРА НА </w:t>
      </w:r>
      <w:r>
        <w:rPr>
          <w:rFonts w:cs="Arial" w:ascii="Arial" w:hAnsi="Arial"/>
          <w:b/>
          <w:sz w:val="24"/>
          <w:szCs w:val="24"/>
        </w:rPr>
        <w:t>ОБУЧЕНИЕТО</w:t>
      </w:r>
      <w:r>
        <w:rPr>
          <w:rFonts w:cs="Arial" w:ascii="Arial" w:hAnsi="Arial"/>
          <w:b/>
          <w:sz w:val="24"/>
          <w:szCs w:val="24"/>
          <w:lang w:val="ru-RU"/>
        </w:rPr>
        <w:t>:</w:t>
      </w:r>
    </w:p>
    <w:p>
      <w:pPr>
        <w:pStyle w:val="Normal"/>
        <w:ind w:left="108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Специфична  подготовка на обучение за възрастни е в рамките на: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1 ден по 3 учебни часа – общо 3 учебни часа.</w:t>
      </w:r>
    </w:p>
    <w:p>
      <w:pPr>
        <w:pStyle w:val="Normal"/>
        <w:rPr>
          <w:rFonts w:ascii="Arial" w:hAnsi="Arial" w:cs="Arial"/>
          <w:b/>
          <w:b/>
          <w:sz w:val="24"/>
          <w:szCs w:val="24"/>
          <w:lang w:val="ru-RU"/>
        </w:rPr>
      </w:pPr>
      <w:r>
        <w:rPr>
          <w:rFonts w:cs="Arial" w:ascii="Arial" w:hAnsi="Arial"/>
          <w:sz w:val="24"/>
          <w:szCs w:val="24"/>
        </w:rPr>
        <w:t>Времетраене на 1 (един) учебен час: 45 минути.</w:t>
      </w:r>
    </w:p>
    <w:p>
      <w:pPr>
        <w:pStyle w:val="Normal"/>
        <w:spacing w:before="0" w:after="240"/>
        <w:jc w:val="both"/>
        <w:rPr>
          <w:rFonts w:ascii="Arial" w:hAnsi="Arial" w:cs="Arial"/>
          <w:b/>
          <w:b/>
          <w:sz w:val="24"/>
          <w:szCs w:val="24"/>
          <w:lang w:val="ru-RU"/>
        </w:rPr>
      </w:pPr>
      <w:r>
        <w:rPr>
          <w:rFonts w:cs="Arial" w:ascii="Arial" w:hAnsi="Arial"/>
          <w:b/>
          <w:sz w:val="24"/>
          <w:szCs w:val="24"/>
          <w:lang w:val="ru-RU"/>
        </w:rPr>
      </w:r>
    </w:p>
    <w:p>
      <w:pPr>
        <w:pStyle w:val="ListParagraph"/>
        <w:numPr>
          <w:ilvl w:val="0"/>
          <w:numId w:val="2"/>
        </w:numPr>
        <w:spacing w:before="0" w:after="160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  <w:t>УЧЕБНО СЪДЪРЖАНИЕ</w:t>
      </w:r>
    </w:p>
    <w:p>
      <w:pPr>
        <w:pStyle w:val="Normal"/>
        <w:rPr>
          <w:rFonts w:ascii="Arial" w:hAnsi="Arial" w:cs="Arial"/>
          <w:b/>
          <w:b/>
          <w:bCs/>
          <w:sz w:val="24"/>
          <w:szCs w:val="24"/>
        </w:rPr>
      </w:pPr>
      <w:r>
        <w:rPr>
          <w:rFonts w:cs="Arial" w:ascii="Arial" w:hAnsi="Arial"/>
          <w:b/>
          <w:bCs/>
          <w:sz w:val="24"/>
          <w:szCs w:val="24"/>
        </w:rPr>
      </w:r>
    </w:p>
    <w:p>
      <w:pPr>
        <w:pStyle w:val="Normal"/>
        <w:rPr>
          <w:rFonts w:ascii="Arial" w:hAnsi="Arial" w:cs="Arial"/>
          <w:bCs/>
          <w:sz w:val="24"/>
          <w:szCs w:val="24"/>
        </w:rPr>
      </w:pPr>
      <w:r>
        <w:rPr>
          <w:rFonts w:eastAsia="Calibri" w:cs="Arial" w:ascii="Arial" w:hAnsi="Arial"/>
          <w:sz w:val="24"/>
          <w:szCs w:val="24"/>
        </w:rPr>
        <w:t>РАЗПРЕДЕЛЕНИЕ  НА МАТЕРИАЛА: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b/>
          <w:sz w:val="24"/>
          <w:szCs w:val="24"/>
        </w:rPr>
        <w:t>Обучението по</w:t>
      </w:r>
      <w:r>
        <w:rPr>
          <w:rFonts w:eastAsia="Calibri" w:cs="Arial" w:ascii="Arial" w:hAnsi="Arial"/>
          <w:b/>
          <w:sz w:val="24"/>
          <w:szCs w:val="24"/>
        </w:rPr>
        <w:t xml:space="preserve">  ‘’</w:t>
      </w:r>
      <w:r>
        <w:rPr>
          <w:rFonts w:cs="Arial" w:ascii="Arial" w:hAnsi="Arial"/>
          <w:b/>
          <w:sz w:val="24"/>
          <w:szCs w:val="24"/>
        </w:rPr>
        <w:t>Грънчарство</w:t>
      </w:r>
      <w:r>
        <w:rPr>
          <w:rFonts w:eastAsia="Calibri" w:cs="Arial" w:ascii="Arial" w:hAnsi="Arial"/>
          <w:b/>
          <w:sz w:val="24"/>
          <w:szCs w:val="24"/>
        </w:rPr>
        <w:t xml:space="preserve">‘’ е теоретико-практическа дейност . Тя включва :                   </w:t>
      </w:r>
    </w:p>
    <w:p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Запознаване с традиции и историческо наследство . Видове материали в грънчарството .     </w:t>
      </w:r>
    </w:p>
    <w:p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 xml:space="preserve">Правила на керамичната композиция, техники и технологични особености при създаването на грънчарските изделия .             </w:t>
      </w:r>
    </w:p>
    <w:p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Практическо овладяване на теоретичните знания.            </w:t>
      </w:r>
    </w:p>
    <w:p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Формиране на знания и умения за осъществяване на учебния процес по предмета и връзка с грънчарските техники и технологии и художествено проектиране и декорация .    </w:t>
      </w:r>
    </w:p>
    <w:p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Запознаването с различните керамични материали и спецификата при работа с тях .       </w:t>
      </w:r>
    </w:p>
    <w:p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Запознаване с различните видове грънчарски съдове , пана декоративни форми и др .    </w:t>
      </w:r>
    </w:p>
    <w:p>
      <w:pPr>
        <w:pStyle w:val="ListParagraph"/>
        <w:numPr>
          <w:ilvl w:val="1"/>
          <w:numId w:val="9"/>
        </w:numPr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Поставяне на творчески  задачи, формиране на художествен вкус и проява на творческо въображение .        </w:t>
      </w:r>
    </w:p>
    <w:p>
      <w:pPr>
        <w:pStyle w:val="ListParagraph"/>
        <w:ind w:left="216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ОСНОВНИ ТЕМИ И ЗАДАЧИ                                                               </w:t>
      </w:r>
    </w:p>
    <w:p>
      <w:pPr>
        <w:pStyle w:val="Normal"/>
        <w:jc w:val="center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b/>
          <w:b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</w:t>
      </w:r>
      <w:r>
        <w:rPr>
          <w:rFonts w:eastAsia="Calibri" w:cs="Arial" w:ascii="Arial" w:hAnsi="Arial"/>
          <w:sz w:val="24"/>
          <w:szCs w:val="24"/>
        </w:rPr>
        <w:t xml:space="preserve">   </w:t>
      </w:r>
      <w:r>
        <w:rPr>
          <w:rFonts w:eastAsia="Calibri" w:cs="Arial" w:ascii="Arial" w:hAnsi="Arial"/>
          <w:sz w:val="24"/>
          <w:szCs w:val="24"/>
        </w:rPr>
        <w:t xml:space="preserve">Задачите по грънчарство за стари хора са свързани главно  с дизайнерско решения на серии от предмети , сервизи , предназначени за изпълнение от фин грънчарски материал. </w:t>
      </w:r>
    </w:p>
    <w:p>
      <w:pPr>
        <w:pStyle w:val="Normal"/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</w:t>
      </w:r>
    </w:p>
    <w:p>
      <w:pPr>
        <w:pStyle w:val="Normal"/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ТЕМИ:</w:t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Запознаване с отливен метод на формуване.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Въвеждане на течна керамична маса – шликер</w:t>
      </w:r>
    </w:p>
    <w:p>
      <w:pPr>
        <w:pStyle w:val="ListParagraph"/>
        <w:tabs>
          <w:tab w:val="clear" w:pos="709"/>
          <w:tab w:val="left" w:pos="6360" w:leader="none"/>
        </w:tabs>
        <w:rPr/>
      </w:pPr>
      <w:r>
        <w:rPr/>
      </w:r>
    </w:p>
    <w:p>
      <w:pPr>
        <w:pStyle w:val="ListParagraph"/>
        <w:numPr>
          <w:ilvl w:val="0"/>
          <w:numId w:val="7"/>
        </w:numPr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Въвеждане на нов вид пластична керамична маса – бялоизпичаща се финошамотизирана керамична маса.</w:t>
      </w:r>
    </w:p>
    <w:p>
      <w:pPr>
        <w:pStyle w:val="Normal"/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ЗАДАЧИ:</w:t>
      </w:r>
    </w:p>
    <w:p>
      <w:pPr>
        <w:pStyle w:val="ListParagraph"/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 xml:space="preserve">          </w:t>
      </w:r>
    </w:p>
    <w:p>
      <w:pPr>
        <w:pStyle w:val="ListParagraph"/>
        <w:numPr>
          <w:ilvl w:val="0"/>
          <w:numId w:val="8"/>
        </w:numPr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Камерно пластично пано , изградено композиционно от конфигурация от три             по-малки пана.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Проектиране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Графичен и цветен проект</w:t>
      </w:r>
    </w:p>
    <w:p>
      <w:pPr>
        <w:pStyle w:val="ListParagraph"/>
        <w:numPr>
          <w:ilvl w:val="0"/>
          <w:numId w:val="6"/>
        </w:numPr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>Изпълнение в материал</w:t>
      </w:r>
    </w:p>
    <w:p>
      <w:pPr>
        <w:pStyle w:val="ListParagraph"/>
        <w:tabs>
          <w:tab w:val="clear" w:pos="709"/>
          <w:tab w:val="left" w:pos="6360" w:leader="none"/>
        </w:tabs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ListParagraph"/>
        <w:tabs>
          <w:tab w:val="clear" w:pos="709"/>
          <w:tab w:val="left" w:pos="6360" w:leader="none"/>
        </w:tabs>
        <w:ind w:left="1440" w:hanging="0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rPr>
          <w:rFonts w:ascii="Arial" w:hAnsi="Arial" w:cs="Arial"/>
          <w:b/>
          <w:b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>ЦЕЛИ: През времето на обучение обучаваните хора следва да получат и да развият  умения за целия цикъл на изпълнение на керамичните изделия.</w:t>
      </w:r>
    </w:p>
    <w:p>
      <w:pPr>
        <w:pStyle w:val="Normal"/>
        <w:tabs>
          <w:tab w:val="clear" w:pos="709"/>
          <w:tab w:val="left" w:pos="567" w:leader="none"/>
          <w:tab w:val="left" w:pos="851" w:leader="none"/>
        </w:tabs>
        <w:spacing w:before="240" w:after="20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Arial" w:ascii="Arial" w:hAnsi="Arial"/>
          <w:b/>
          <w:sz w:val="24"/>
          <w:szCs w:val="24"/>
        </w:rPr>
        <w:t>РЕЗУЛТАТ: Произведени керамични изделия за изложбата по време на Панаира на занаятите и фолклора и благотворителния търг за създаване на фонд за подкрепа на групи в неравностойно положение от селските райони.</w:t>
      </w:r>
    </w:p>
    <w:p>
      <w:pPr>
        <w:pStyle w:val="Normal"/>
        <w:keepNext w:val="true"/>
        <w:keepLines/>
        <w:tabs>
          <w:tab w:val="clear" w:pos="709"/>
          <w:tab w:val="left" w:pos="567" w:leader="none"/>
          <w:tab w:val="left" w:pos="851" w:leader="none"/>
        </w:tabs>
        <w:spacing w:lineRule="auto" w:line="240" w:before="60" w:after="60"/>
        <w:ind w:left="57" w:right="57" w:hanging="0"/>
        <w:jc w:val="both"/>
        <w:rPr>
          <w:rFonts w:ascii="Arial" w:hAnsi="Arial" w:eastAsia="Calibri" w:cs="Arial"/>
          <w:sz w:val="24"/>
          <w:szCs w:val="24"/>
        </w:rPr>
      </w:pP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bg-BG" w:eastAsia="zh-CN" w:bidi="ar-SA"/>
        </w:rPr>
        <w:t xml:space="preserve">Тази 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bg-BG" w:eastAsia="zh-CN" w:bidi="ar-SA"/>
        </w:rPr>
        <w:t>у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kern w:val="0"/>
          <w:sz w:val="24"/>
          <w:szCs w:val="32"/>
          <w:lang w:val="bg-BG" w:eastAsia="zh-CN" w:bidi="ar-SA"/>
        </w:rPr>
        <w:t>чебна програма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en-GB" w:eastAsia="zh-CN" w:bidi="ar-SA"/>
        </w:rPr>
        <w:t xml:space="preserve"> е направен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bg-BG" w:eastAsia="zh-CN" w:bidi="ar-SA"/>
        </w:rPr>
        <w:t>а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en-GB" w:eastAsia="zh-CN" w:bidi="ar-SA"/>
        </w:rPr>
        <w:t xml:space="preserve"> с подкрепата на Европейския съюз, чрез Програма за трансгранично сътрудничество Интеррег-ИП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bg-BG" w:eastAsia="zh-CN" w:bidi="ar-SA"/>
        </w:rPr>
        <w:t>П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en-GB" w:eastAsia="zh-CN" w:bidi="ar-SA"/>
        </w:rPr>
        <w:t xml:space="preserve"> България-Сърбия, CCI No 2014TC16I5CB007. Съдържанието на публикацията е отговорност единствено на 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bg-BG" w:eastAsia="zh-CN" w:bidi="ar-SA"/>
        </w:rPr>
        <w:t>Сдружение „ Младежки порив за бъдещето“</w:t>
      </w:r>
      <w:r>
        <w:rPr>
          <w:rFonts w:eastAsia="Calibri" w:cs="Palatino Linotype" w:ascii="Palatino Linotype" w:hAnsi="Palatino Linotype"/>
          <w:b w:val="false"/>
          <w:i w:val="false"/>
          <w:caps w:val="false"/>
          <w:smallCaps w:val="false"/>
          <w:color w:val="000000"/>
          <w:spacing w:val="0"/>
          <w:sz w:val="24"/>
          <w:szCs w:val="32"/>
          <w:lang w:val="en-GB" w:eastAsia="zh-CN" w:bidi="ar-SA"/>
        </w:rPr>
        <w:t xml:space="preserve"> и по никакъв начин не трябва да се възприема като израз на становището на Европейския съюз или на Управляващия орган на Програмата.</w:t>
      </w:r>
    </w:p>
    <w:sectPr>
      <w:footerReference w:type="default" r:id="rId6"/>
      <w:type w:val="nextPage"/>
      <w:pgSz w:w="12240" w:h="15840"/>
      <w:pgMar w:left="1440" w:right="1440" w:header="0" w:top="1440" w:footer="0" w:bottom="1440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Cambria">
    <w:charset w:val="cc"/>
    <w:family w:val="roman"/>
    <w:pitch w:val="variable"/>
  </w:font>
  <w:font w:name="Times New Roman">
    <w:charset w:val="cc"/>
    <w:family w:val="roman"/>
    <w:pitch w:val="variable"/>
  </w:font>
  <w:font w:name="Century Schoolbook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 Narrow">
    <w:charset w:val="cc"/>
    <w:family w:val="roman"/>
    <w:pitch w:val="variable"/>
  </w:font>
  <w:font w:name="Arial">
    <w:charset w:val="cc"/>
    <w:family w:val="roman"/>
    <w:pitch w:val="variable"/>
  </w:font>
  <w:font w:name="Palatino Linotype">
    <w:charset w:val="cc"/>
    <w:family w:val="roman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3"/>
      <w:rPr/>
    </w:pPr>
    <w:r>
      <w:rPr/>
    </w:r>
  </w:p>
  <w:p>
    <w:pPr>
      <w:pStyle w:val="Style23"/>
      <w:spacing w:lineRule="auto" w:line="240"/>
      <w:jc w:val="center"/>
      <w:rPr/>
    </w:pPr>
    <w:r>
      <w:rPr>
        <w:rFonts w:cs="Arial Narrow" w:ascii="Arial Narrow" w:hAnsi="Arial Narrow"/>
        <w:i/>
        <w:iCs/>
        <w:sz w:val="18"/>
        <w:szCs w:val="32"/>
      </w:rPr>
      <w:t>Проектът е</w:t>
    </w:r>
    <w:r>
      <w:rPr>
        <w:rFonts w:cs="Arial Narrow" w:ascii="Arial Narrow" w:hAnsi="Arial Narrow"/>
        <w:i/>
        <w:iCs/>
        <w:sz w:val="18"/>
        <w:szCs w:val="32"/>
        <w:lang w:val="en-GB"/>
      </w:rPr>
      <w:t> </w:t>
    </w:r>
    <w:r>
      <w:rPr>
        <w:rFonts w:cs="Arial Narrow" w:ascii="Arial Narrow" w:hAnsi="Arial Narrow"/>
        <w:i/>
        <w:iCs/>
        <w:sz w:val="18"/>
        <w:szCs w:val="32"/>
      </w:rPr>
      <w:t xml:space="preserve">съфинансиран от ЕС чрез Програма за трансгранично сътрудничество </w:t>
    </w:r>
    <w:r>
      <w:rPr>
        <w:rFonts w:cs="Arial Narrow" w:ascii="Arial Narrow" w:hAnsi="Arial Narrow"/>
        <w:i/>
        <w:iCs/>
        <w:caps/>
        <w:sz w:val="18"/>
        <w:szCs w:val="32"/>
      </w:rPr>
      <w:t>Интеррег</w:t>
    </w:r>
    <w:r>
      <w:rPr>
        <w:rFonts w:cs="Arial Narrow" w:ascii="Arial Narrow" w:hAnsi="Arial Narrow"/>
        <w:i/>
        <w:iCs/>
        <w:sz w:val="18"/>
        <w:szCs w:val="32"/>
      </w:rPr>
      <w:t xml:space="preserve">-ИПП България-Сърбия </w:t>
    </w:r>
  </w:p>
  <w:p>
    <w:pPr>
      <w:pStyle w:val="Normal"/>
      <w:rPr/>
    </w:pPr>
    <w:r>
      <w:rPr>
        <w:rFonts w:cs="Arial Narrow" w:ascii="Arial Narrow" w:hAnsi="Arial Narrow"/>
        <w:i/>
        <w:iCs/>
        <w:sz w:val="18"/>
        <w:szCs w:val="32"/>
      </w:rPr>
      <w:tab/>
      <w:tab/>
      <w:tab/>
      <w:tab/>
      <w:tab/>
      <w:tab/>
      <w:t>2014-2020г</w:t>
    </w:r>
    <w:r>
      <w:rPr>
        <w:rFonts w:cs="Arial Narrow" w:ascii="Arial Narrow" w:hAnsi="Arial Narrow"/>
        <w:i/>
        <w:sz w:val="18"/>
        <w:szCs w:val="32"/>
      </w:rPr>
      <w:t>.</w:t>
    </w:r>
  </w:p>
  <w:p>
    <w:pPr>
      <w:pStyle w:val="Style23"/>
      <w:rPr/>
    </w:pPr>
    <w:r>
      <w:rPr/>
    </w:r>
  </w:p>
  <w:p>
    <w:pPr>
      <w:pStyle w:val="Style23"/>
      <w:rPr/>
    </w:pPr>
    <w:r>
      <w:rPr/>
    </w:r>
  </w:p>
  <w:p>
    <w:pPr>
      <w:pStyle w:val="Style23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6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sz w:val="28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lvl w:ilvl="0">
      <w:start w:val="2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2"/>
      <w:numFmt w:val="bullet"/>
      <w:lvlText w:val="-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bg-BG" w:eastAsia="bg-BG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bg-BG" w:eastAsia="bg-BG" w:bidi="ar-SA"/>
    </w:rPr>
  </w:style>
  <w:style w:type="paragraph" w:styleId="5">
    <w:name w:val="Heading 5"/>
    <w:basedOn w:val="Normal"/>
    <w:next w:val="Normal"/>
    <w:link w:val="50"/>
    <w:uiPriority w:val="9"/>
    <w:unhideWhenUsed/>
    <w:qFormat/>
    <w:rsid w:val="00f6705d"/>
    <w:pPr>
      <w:keepNext w:val="true"/>
      <w:keepLines/>
      <w:spacing w:before="200" w:after="0"/>
      <w:outlineLvl w:val="4"/>
    </w:pPr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paragraph" w:styleId="6">
    <w:name w:val="Heading 6"/>
    <w:basedOn w:val="Normal"/>
    <w:next w:val="Normal"/>
    <w:link w:val="60"/>
    <w:qFormat/>
    <w:rsid w:val="00cc6dac"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4"/>
      <w:szCs w:val="24"/>
    </w:rPr>
  </w:style>
  <w:style w:type="paragraph" w:styleId="9">
    <w:name w:val="Heading 9"/>
    <w:basedOn w:val="Normal"/>
    <w:next w:val="Normal"/>
    <w:link w:val="90"/>
    <w:uiPriority w:val="9"/>
    <w:semiHidden/>
    <w:unhideWhenUsed/>
    <w:qFormat/>
    <w:rsid w:val="006e13e9"/>
    <w:pPr>
      <w:keepNext w:val="true"/>
      <w:keepLines/>
      <w:spacing w:before="200" w:after="0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61" w:customStyle="1">
    <w:name w:val="Заглавие 6 Знак"/>
    <w:basedOn w:val="DefaultParagraphFont"/>
    <w:link w:val="6"/>
    <w:qFormat/>
    <w:rsid w:val="00cc6dac"/>
    <w:rPr>
      <w:rFonts w:ascii="Times New Roman" w:hAnsi="Times New Roman" w:eastAsia="Times New Roman" w:cs="Times New Roman"/>
      <w:b/>
      <w:bCs/>
      <w:sz w:val="24"/>
      <w:szCs w:val="24"/>
      <w:lang w:val="bg-BG"/>
    </w:rPr>
  </w:style>
  <w:style w:type="character" w:styleId="91" w:customStyle="1">
    <w:name w:val="Заглавие 9 Знак"/>
    <w:basedOn w:val="DefaultParagraphFont"/>
    <w:link w:val="9"/>
    <w:qFormat/>
    <w:rsid w:val="006e13e9"/>
    <w:rPr>
      <w:rFonts w:ascii="Cambria" w:hAnsi="Cambria" w:eastAsia="" w:cs=""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Style11" w:customStyle="1">
    <w:name w:val="Основен текст Знак"/>
    <w:basedOn w:val="DefaultParagraphFont"/>
    <w:semiHidden/>
    <w:qFormat/>
    <w:rsid w:val="006e13e9"/>
    <w:rPr>
      <w:rFonts w:ascii="Century Schoolbook" w:hAnsi="Century Schoolbook" w:eastAsia="Times New Roman" w:cs="Times New Roman"/>
      <w:sz w:val="28"/>
      <w:szCs w:val="20"/>
      <w:lang w:val="bg-BG"/>
    </w:rPr>
  </w:style>
  <w:style w:type="character" w:styleId="51" w:customStyle="1">
    <w:name w:val="Заглавие 5 Знак"/>
    <w:basedOn w:val="DefaultParagraphFont"/>
    <w:link w:val="5"/>
    <w:uiPriority w:val="9"/>
    <w:qFormat/>
    <w:rsid w:val="00f6705d"/>
    <w:rPr>
      <w:rFonts w:ascii="Cambria" w:hAnsi="Cambria" w:eastAsia="" w:cs="" w:asciiTheme="majorHAnsi" w:cstheme="majorBidi" w:eastAsiaTheme="majorEastAsia" w:hAnsiTheme="majorHAnsi"/>
      <w:color w:val="243F60" w:themeColor="accent1" w:themeShade="7f"/>
    </w:rPr>
  </w:style>
  <w:style w:type="character" w:styleId="3" w:customStyle="1">
    <w:name w:val="Основен текст 3 Знак"/>
    <w:basedOn w:val="DefaultParagraphFont"/>
    <w:link w:val="3"/>
    <w:uiPriority w:val="99"/>
    <w:semiHidden/>
    <w:qFormat/>
    <w:rsid w:val="00f6705d"/>
    <w:rPr>
      <w:sz w:val="16"/>
      <w:szCs w:val="16"/>
    </w:rPr>
  </w:style>
  <w:style w:type="character" w:styleId="Style12" w:customStyle="1">
    <w:name w:val="Изнесен текст Знак"/>
    <w:basedOn w:val="DefaultParagraphFont"/>
    <w:uiPriority w:val="99"/>
    <w:semiHidden/>
    <w:qFormat/>
    <w:rsid w:val="008949d4"/>
    <w:rPr>
      <w:rFonts w:ascii="Tahoma" w:hAnsi="Tahoma" w:cs="Tahoma"/>
      <w:sz w:val="16"/>
      <w:szCs w:val="16"/>
    </w:rPr>
  </w:style>
  <w:style w:type="character" w:styleId="Style13" w:customStyle="1">
    <w:name w:val="Горен колонтитул Знак"/>
    <w:basedOn w:val="DefaultParagraphFont"/>
    <w:link w:val="ad"/>
    <w:uiPriority w:val="99"/>
    <w:qFormat/>
    <w:rsid w:val="00257d42"/>
    <w:rPr/>
  </w:style>
  <w:style w:type="character" w:styleId="Style14" w:customStyle="1">
    <w:name w:val="Долен колонтитул Знак"/>
    <w:basedOn w:val="DefaultParagraphFont"/>
    <w:link w:val="af"/>
    <w:uiPriority w:val="99"/>
    <w:qFormat/>
    <w:rsid w:val="00257d42"/>
    <w:rPr/>
  </w:style>
  <w:style w:type="paragraph" w:styleId="Style15">
    <w:name w:val="Заглавие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6">
    <w:name w:val="Body Text"/>
    <w:basedOn w:val="Normal"/>
    <w:semiHidden/>
    <w:rsid w:val="006e13e9"/>
    <w:pPr>
      <w:spacing w:lineRule="auto" w:line="240" w:before="0" w:after="0"/>
      <w:jc w:val="both"/>
    </w:pPr>
    <w:rPr>
      <w:rFonts w:ascii="Century Schoolbook" w:hAnsi="Century Schoolbook" w:eastAsia="Times New Roman" w:cs="Times New Roman"/>
      <w:sz w:val="28"/>
      <w:szCs w:val="20"/>
    </w:rPr>
  </w:style>
  <w:style w:type="paragraph" w:styleId="Style17">
    <w:name w:val="List"/>
    <w:basedOn w:val="Style16"/>
    <w:pPr/>
    <w:rPr>
      <w:rFonts w:cs="Ari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9" w:customStyle="1">
    <w:name w:val="Указател"/>
    <w:basedOn w:val="Normal"/>
    <w:qFormat/>
    <w:pPr>
      <w:suppressLineNumbers/>
    </w:pPr>
    <w:rPr>
      <w:rFonts w:cs="Arial"/>
    </w:rPr>
  </w:style>
  <w:style w:type="paragraph" w:styleId="Style20">
    <w:name w:val="Title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cc6dac"/>
    <w:pPr>
      <w:spacing w:before="0" w:after="200"/>
      <w:ind w:left="720" w:hanging="0"/>
      <w:contextualSpacing/>
    </w:pPr>
    <w:rPr/>
  </w:style>
  <w:style w:type="paragraph" w:styleId="BodyText3">
    <w:name w:val="Body Text 3"/>
    <w:basedOn w:val="Normal"/>
    <w:uiPriority w:val="99"/>
    <w:semiHidden/>
    <w:unhideWhenUsed/>
    <w:qFormat/>
    <w:rsid w:val="00f6705d"/>
    <w:pPr>
      <w:spacing w:before="0" w:after="120"/>
    </w:pPr>
    <w:rPr>
      <w:sz w:val="16"/>
      <w:szCs w:val="16"/>
    </w:rPr>
  </w:style>
  <w:style w:type="paragraph" w:styleId="BalloonText">
    <w:name w:val="Balloon Text"/>
    <w:basedOn w:val="Normal"/>
    <w:uiPriority w:val="99"/>
    <w:semiHidden/>
    <w:unhideWhenUsed/>
    <w:qFormat/>
    <w:rsid w:val="008949d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0026c"/>
    <w:pPr>
      <w:widowControl/>
      <w:suppressAutoHyphens w:val="true"/>
      <w:bidi w:val="0"/>
      <w:spacing w:before="0" w:after="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bg-BG" w:eastAsia="bg-BG" w:bidi="ar-SA"/>
    </w:rPr>
  </w:style>
  <w:style w:type="paragraph" w:styleId="Style21">
    <w:name w:val="Колонтитули"/>
    <w:basedOn w:val="Normal"/>
    <w:qFormat/>
    <w:pPr/>
    <w:rPr/>
  </w:style>
  <w:style w:type="paragraph" w:styleId="Style22">
    <w:name w:val="Header"/>
    <w:basedOn w:val="Normal"/>
    <w:link w:val="ae"/>
    <w:uiPriority w:val="99"/>
    <w:unhideWhenUsed/>
    <w:rsid w:val="00257d42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yle23">
    <w:name w:val="Footer"/>
    <w:basedOn w:val="Normal"/>
    <w:link w:val="af0"/>
    <w:uiPriority w:val="99"/>
    <w:unhideWhenUsed/>
    <w:rsid w:val="00257d42"/>
    <w:pPr>
      <w:tabs>
        <w:tab w:val="clear" w:pos="709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wmf"/><Relationship Id="rId5" Type="http://schemas.openxmlformats.org/officeDocument/2006/relationships/image" Target="media/image4.jpeg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</TotalTime>
  <Application>LibreOffice/7.0.0.3$Windows_X86_64 LibreOffice_project/8061b3e9204bef6b321a21033174034a5e2ea88e</Application>
  <Pages>6</Pages>
  <Words>1063</Words>
  <Characters>6536</Characters>
  <CharactersWithSpaces>7795</CharactersWithSpaces>
  <Paragraphs>80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Radoeva</dc:creator>
  <dc:description/>
  <dc:language>bg-BG</dc:language>
  <cp:lastModifiedBy/>
  <dcterms:modified xsi:type="dcterms:W3CDTF">2022-07-22T21:27:06Z</dcterms:modified>
  <cp:revision>64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